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04" w:rsidRDefault="00E61104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</w:p>
    <w:p w:rsidR="00E61104" w:rsidRDefault="00103998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61104" w:rsidRDefault="00650C20" w:rsidP="00650C20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совещательным</w:t>
      </w:r>
      <w:r w:rsidRPr="00650C2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50C20"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</w:t>
      </w:r>
      <w:r w:rsidRPr="00650C20">
        <w:rPr>
          <w:rFonts w:ascii="Times New Roman" w:hAnsi="Times New Roman" w:cs="Times New Roman"/>
          <w:sz w:val="28"/>
          <w:szCs w:val="28"/>
        </w:rPr>
        <w:t>а</w:t>
      </w:r>
      <w:r w:rsidRPr="00650C20">
        <w:rPr>
          <w:rFonts w:ascii="Times New Roman" w:hAnsi="Times New Roman" w:cs="Times New Roman"/>
          <w:sz w:val="28"/>
          <w:szCs w:val="28"/>
        </w:rPr>
        <w:t>сти,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50C20">
        <w:rPr>
          <w:rFonts w:ascii="Times New Roman" w:hAnsi="Times New Roman" w:cs="Times New Roman"/>
          <w:sz w:val="28"/>
          <w:szCs w:val="28"/>
        </w:rPr>
        <w:t xml:space="preserve"> оценку эффективности функциониров</w:t>
      </w:r>
      <w:r w:rsidRPr="00650C20">
        <w:rPr>
          <w:rFonts w:ascii="Times New Roman" w:hAnsi="Times New Roman" w:cs="Times New Roman"/>
          <w:sz w:val="28"/>
          <w:szCs w:val="28"/>
        </w:rPr>
        <w:t>а</w:t>
      </w:r>
      <w:r w:rsidRPr="00650C20">
        <w:rPr>
          <w:rFonts w:ascii="Times New Roman" w:hAnsi="Times New Roman" w:cs="Times New Roman"/>
          <w:sz w:val="28"/>
          <w:szCs w:val="28"/>
        </w:rPr>
        <w:t xml:space="preserve">ния антимонопольного </w:t>
      </w:r>
      <w:proofErr w:type="spellStart"/>
      <w:r w:rsidRPr="00650C20">
        <w:rPr>
          <w:rFonts w:ascii="Times New Roman" w:hAnsi="Times New Roman" w:cs="Times New Roman"/>
          <w:sz w:val="28"/>
          <w:szCs w:val="28"/>
        </w:rPr>
        <w:t>комплае</w:t>
      </w:r>
      <w:r w:rsidRPr="00650C20">
        <w:rPr>
          <w:rFonts w:ascii="Times New Roman" w:hAnsi="Times New Roman" w:cs="Times New Roman"/>
          <w:sz w:val="28"/>
          <w:szCs w:val="28"/>
        </w:rPr>
        <w:t>н</w:t>
      </w:r>
      <w:r w:rsidRPr="00650C20"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службе</w:t>
      </w:r>
      <w:r w:rsidR="00103998">
        <w:rPr>
          <w:rFonts w:ascii="Times New Roman" w:hAnsi="Times New Roman" w:cs="Times New Roman"/>
          <w:sz w:val="28"/>
          <w:szCs w:val="28"/>
        </w:rPr>
        <w:t xml:space="preserve"> ветеринарии</w:t>
      </w:r>
    </w:p>
    <w:p w:rsidR="00E61104" w:rsidRDefault="00103998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E61104" w:rsidRDefault="00E61104">
      <w:pPr>
        <w:ind w:left="5664" w:firstLine="3"/>
        <w:contextualSpacing/>
        <w:rPr>
          <w:rFonts w:ascii="Times New Roman" w:hAnsi="Times New Roman" w:cs="Times New Roman"/>
          <w:sz w:val="28"/>
          <w:szCs w:val="28"/>
        </w:rPr>
      </w:pPr>
    </w:p>
    <w:p w:rsidR="00E61104" w:rsidRDefault="00E611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104" w:rsidRDefault="00E611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104" w:rsidRDefault="001039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E61104" w:rsidRDefault="001039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системы внутреннего обеспечения соответствия треб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ваниям антимонопольного законодательства деятельности службы 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теринарии Астраханской области за 2024 год </w:t>
      </w:r>
    </w:p>
    <w:p w:rsidR="00E61104" w:rsidRDefault="00E611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104" w:rsidRDefault="001039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Астраханской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18.01.2019 № 9-Пр «О мерах по реализации подпункта «е» пункта 2 Наци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нального плана развития конкуренции в Российской Федерации на 2018-2020 годы, утвержденного Указом Президента Российской Федерации от 21.12.2017 № 618», в соответствии с приказами службы ветеринарии Астр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ханской области от 15.02.2019 № 21 «Об организации системы внутреннего обеспечения соответствия требованиям антимонопольного законодательства в службе ветеринарии Астраханской области», от 18.04.2022 № 32 «Об утверждении карты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-рисков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Плана мероприятий по снижению рисков нарушения антимонопольного законодательства в службе ветерин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рии Астраханской области»;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29.04.2022 № 39 «Об утверждении ключевых показателей и методики расчета ключевых показателей эффективности функционирования системы внутреннего обеспечения соответствия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ниям антимонопольного законодательства в службе ветеринарии Астраха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области», службой ветеринарии Астраханской области (далее – служба) на постоянной основе обеспечивается функционирование системы внутре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него обеспечения соответствия требованиям антимонопольного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тельства в службе (далее - 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) путем выявления и управления рисками нарушений антимонопольного законодательства,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 соответствия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служба требованиям антимонопольного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конодательства, а также оценки эффективности функционирования в службе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 целях выявления рисков нарушения антимонопольного законод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структурными подразделениями службы в части своей компетенции на регулярной основе проводятся следующие мероприятия: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анализ выявленных нарушений антимонопольного законодательства в деятельности службы за предыдущие 3 года (наличие предостережений,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дупреждений, штрафов, жалоб, возбужденных дел);</w:t>
      </w:r>
      <w:proofErr w:type="gramEnd"/>
    </w:p>
    <w:p w:rsidR="00E61104" w:rsidRDefault="001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нормативных правовых актов службы;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проектов нормативных правовых актов службы;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анализ практики применения службой антимонопол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законодательства;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6"/>
      <w:bookmarkStart w:id="1" w:name="OLE_LINK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систематической оценки эффективности разработанных и реализуемых мероприятий</w:t>
      </w:r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D20" w:rsidRDefault="00103998" w:rsidP="00ED3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анализа выявленных нарушений антимонопольн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законодательства в деятельности службы за период с 01.01.2024 по 31.12.2024 структурными подразделениями службы в части своей компете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проведено осуществление сбора сведений о наличии нарушений антим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нопольного законодательства </w:t>
      </w:r>
      <w:r w:rsidR="00ED3D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</w:t>
      </w:r>
      <w:r w:rsidR="00ED3D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нарушений антим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нопольного законодательства в службе. По результатам проведения указа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мероприятий </w:t>
      </w:r>
      <w:r w:rsidR="00ED3D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нарушений антимонопольного законодател</w:t>
      </w:r>
      <w:r w:rsidR="00ED3D2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D3D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 деятельности службы за период с 01.01 по 31.12.2024 – отсутствуют.</w:t>
      </w:r>
    </w:p>
    <w:p w:rsidR="00E61104" w:rsidRDefault="00103998" w:rsidP="00ED3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 службы в целях выявления рисков нарушения антимонопольного законодательств факторов, способствующих недопущению ограничения, устранению конк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ренции, не выявлено, в связи с чем, сделан вывод об их соответствии ант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монопольному законодательству и о нецелесообразности внесения измен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в действующие нормативные правовые акты службы.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Нормативные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вовые акты службы, в которых антимонопольным органом выявлены нар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шения антимонопольного зако</w:t>
      </w:r>
      <w:r w:rsidR="00ED3D20">
        <w:rPr>
          <w:rFonts w:ascii="Times New Roman" w:hAnsi="Times New Roman" w:cs="Times New Roman"/>
          <w:sz w:val="28"/>
          <w:szCs w:val="28"/>
        </w:rPr>
        <w:t>нодательства, за период с 01.01</w:t>
      </w:r>
      <w:r>
        <w:rPr>
          <w:rFonts w:ascii="Times New Roman" w:hAnsi="Times New Roman" w:cs="Times New Roman"/>
          <w:sz w:val="28"/>
          <w:szCs w:val="28"/>
        </w:rPr>
        <w:t xml:space="preserve"> по 31.12.2024 </w:t>
      </w:r>
      <w:r w:rsidR="00ED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E315E6" w:rsidRDefault="00103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проектов нормативных правовых актов службы стру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турными подразделениями службы в части своей компетенции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размещение на официальном сайте проектов нормативных правовых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службы для сбора и проведения оценки замечаний и предложений от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ганизаций и граждан по указанным проектам нормативных правовых актов службы. </w:t>
      </w:r>
      <w:r>
        <w:rPr>
          <w:rFonts w:ascii="Times New Roman" w:hAnsi="Times New Roman" w:cs="Times New Roman"/>
          <w:sz w:val="28"/>
          <w:szCs w:val="28"/>
        </w:rPr>
        <w:t>При размещении проектов нормативных правовых актов в целях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явления рисков нарушения антимонопольного законодательства указывалось обоснование реализации предлагаемых в них решений, в том числе их вли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ние на конкуренцию. Замечаний и предложений от организаций и граждан по проектам нормативных правовых актов службы в 2024 году не посту</w:t>
      </w:r>
      <w:r w:rsidR="00E315E6">
        <w:rPr>
          <w:rFonts w:ascii="Times New Roman" w:hAnsi="Times New Roman" w:cs="Times New Roman"/>
          <w:sz w:val="28"/>
          <w:szCs w:val="28"/>
        </w:rPr>
        <w:t>пало.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службой антимонопольн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законодательства, а также проведение систематической оценки эффекти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ности разработанных и реализуемых мероприятий по снижению рисков нарушения антимонопольного законодательства осуществляются структу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ными подразделениями службы в части своей компетенции на постоянной основе.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</w:t>
      </w:r>
      <w:r w:rsidR="00ED3D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интересов в деятельности сотрудников службы и структу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ных подразделений службы не выявлено.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Внутренние расследования, связа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ные с функционированием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проводились.</w:t>
      </w:r>
      <w:proofErr w:type="gramEnd"/>
    </w:p>
    <w:p w:rsidR="00E61104" w:rsidRDefault="00103998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мероприятий по выявлению рисков нарушения антимон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польного законодательства проведена оценка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рисков с учетом след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показателей: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отрицательное влияние на отношение институтов гражданского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 к деятельности службы по развитию конкуренции;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предупреждения о прекращении действий (бездействия),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содержат признаки нарушения антимонопольного законодательства;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возбуждение дела о нарушении антимонопольного законодательства;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административной ответственности в виде наложения штрафов на должностных лиц или в виде их дисквалификации.</w:t>
      </w:r>
    </w:p>
    <w:p w:rsidR="00E61104" w:rsidRDefault="00103998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выявленных рисков нарушения антимонопольного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конодательства по уровням осуществлено в соответствии с Методическими рекомендациями по созданию и организации федеральными органами 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нительной власти системы внутреннего обеспечения соответствия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ниям антимонопольного законодательства, утвержденными распоряжением Правительства Российской Федерации от 18.10.2018 № 2258-р.</w:t>
      </w:r>
    </w:p>
    <w:p w:rsidR="00E61104" w:rsidRDefault="00103998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проведенной оценки рисков нарушения антимонопольного законодательства составлено описание рисков, в которое также включена оценка причин и условий их возникновения.</w:t>
      </w:r>
    </w:p>
    <w:p w:rsidR="00E61104" w:rsidRDefault="00103998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ства разработаны и осуществлялись мероприятия по снижению рисков нар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шения антимонопольного законода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тельства в </w:t>
      </w:r>
      <w:r w:rsidR="00650C20">
        <w:rPr>
          <w:rFonts w:ascii="Times New Roman" w:hAnsi="Times New Roman" w:cs="Times New Roman"/>
          <w:sz w:val="28"/>
          <w:szCs w:val="28"/>
        </w:rPr>
        <w:t>службе ветеринарии Астраха</w:t>
      </w:r>
      <w:r w:rsidR="00650C20">
        <w:rPr>
          <w:rFonts w:ascii="Times New Roman" w:hAnsi="Times New Roman" w:cs="Times New Roman"/>
          <w:sz w:val="28"/>
          <w:szCs w:val="28"/>
        </w:rPr>
        <w:t>н</w:t>
      </w:r>
      <w:r w:rsidR="00650C20">
        <w:rPr>
          <w:rFonts w:ascii="Times New Roman" w:hAnsi="Times New Roman" w:cs="Times New Roman"/>
          <w:sz w:val="28"/>
          <w:szCs w:val="28"/>
        </w:rPr>
        <w:t>ской области</w:t>
      </w:r>
      <w:r>
        <w:rPr>
          <w:rFonts w:ascii="Times New Roman" w:hAnsi="Times New Roman" w:cs="Times New Roman"/>
          <w:sz w:val="28"/>
          <w:szCs w:val="28"/>
        </w:rPr>
        <w:t>, а также мониторинг их исполнения.</w:t>
      </w:r>
    </w:p>
    <w:p w:rsidR="00E61104" w:rsidRDefault="00103998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в службе антим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2024 году в соответствии с Методикой расчета ключевых показателей эффективности функционирования в службе антим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утвержденной уполномоченным должностным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цом службы, проведена оценка достижения ключевых показателей оценки эффективности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КПЭ).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оценки достижения КПЭ установлено, что службой  в 2024 году достигнуты следующие значения КПЭ: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коэффициент снижения количества нарушений антимонопольного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конодательства со стороны службы (по сравнению с 2019 годом)</w:t>
      </w:r>
      <w:r w:rsidR="00650C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0;</w:t>
      </w:r>
    </w:p>
    <w:p w:rsidR="00E61104" w:rsidRDefault="00103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проектов нормативных правовых актов службы, в которых выя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лены риски нарушения антимонопольного законодательства – 0;</w:t>
      </w:r>
    </w:p>
    <w:p w:rsidR="00650C20" w:rsidRDefault="00103998" w:rsidP="0065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нормативных правовых актов службы, в которых выявлены ри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ки нарушения антимонопольного законодательства </w:t>
      </w:r>
      <w:r w:rsidR="00650C2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E61104" w:rsidRDefault="00103998" w:rsidP="0065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государственными казенными и бюджетными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ждениями Астраханской области, подведомственными службе (далее –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ждения), в 2024 году также обеспечивалось соблюдение требований антим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нопольного законодательства и предупреждение его нарушений, антимон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польным органом нарушений антимонопольного законодательства со стор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ны учреждений не выявлено.</w:t>
      </w:r>
    </w:p>
    <w:sectPr w:rsidR="00E61104" w:rsidSect="00526458">
      <w:headerReference w:type="default" r:id="rId8"/>
      <w:pgSz w:w="11906" w:h="16838"/>
      <w:pgMar w:top="1134" w:right="851" w:bottom="709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E2" w:rsidRDefault="00103998">
      <w:pPr>
        <w:spacing w:after="0" w:line="240" w:lineRule="auto"/>
      </w:pPr>
      <w:r>
        <w:separator/>
      </w:r>
    </w:p>
  </w:endnote>
  <w:endnote w:type="continuationSeparator" w:id="0">
    <w:p w:rsidR="004847E2" w:rsidRDefault="0010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E2" w:rsidRDefault="00103998">
      <w:pPr>
        <w:spacing w:after="0" w:line="240" w:lineRule="auto"/>
      </w:pPr>
      <w:r>
        <w:separator/>
      </w:r>
    </w:p>
  </w:footnote>
  <w:footnote w:type="continuationSeparator" w:id="0">
    <w:p w:rsidR="004847E2" w:rsidRDefault="0010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611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1104" w:rsidRPr="00526458" w:rsidRDefault="0010399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64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6458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5264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645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64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1104" w:rsidRDefault="00E611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104"/>
    <w:rsid w:val="00103998"/>
    <w:rsid w:val="004847E2"/>
    <w:rsid w:val="00526458"/>
    <w:rsid w:val="00650C20"/>
    <w:rsid w:val="00D85920"/>
    <w:rsid w:val="00E315E6"/>
    <w:rsid w:val="00E61104"/>
    <w:rsid w:val="00E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31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E5A0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54D86"/>
  </w:style>
  <w:style w:type="character" w:customStyle="1" w:styleId="a7">
    <w:name w:val="Нижний колонтитул Знак"/>
    <w:basedOn w:val="a0"/>
    <w:link w:val="a8"/>
    <w:uiPriority w:val="99"/>
    <w:qFormat/>
    <w:rsid w:val="00654D86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">
    <w:name w:val="Без списка"/>
    <w:uiPriority w:val="99"/>
    <w:semiHidden/>
    <w:unhideWhenUsed/>
    <w:qFormat/>
  </w:style>
  <w:style w:type="paragraph" w:styleId="af0">
    <w:name w:val="Normal (Web)"/>
    <w:basedOn w:val="a"/>
    <w:uiPriority w:val="99"/>
    <w:semiHidden/>
    <w:unhideWhenUsed/>
    <w:rsid w:val="0065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437B3-CFD2-47CE-B722-B6E24E2B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Дружинина Юлия Львовна</cp:lastModifiedBy>
  <cp:revision>7</cp:revision>
  <cp:lastPrinted>2025-01-27T08:20:00Z</cp:lastPrinted>
  <dcterms:created xsi:type="dcterms:W3CDTF">2024-02-01T09:50:00Z</dcterms:created>
  <dcterms:modified xsi:type="dcterms:W3CDTF">2025-01-27T09:24:00Z</dcterms:modified>
  <dc:language>ru-RU</dc:language>
</cp:coreProperties>
</file>